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Regional Economic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Integration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University Affiliation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Students Name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>Canadian Instruments of Trade Policy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crucial driver of Canada’s economy is international trade. The country has recognized the importance of set </w:t>
      </w:r>
      <w:r>
        <w:rPr>
          <w:rFonts w:ascii="Times New Roman" w:cs="Times New Roman" w:hAnsi="Times New Roman"/>
          <w:sz w:val="24"/>
          <w:szCs w:val="24"/>
        </w:rPr>
        <w:t>glob</w:t>
      </w:r>
      <w:r>
        <w:rPr>
          <w:rFonts w:ascii="Times New Roman" w:cs="Times New Roman" w:hAnsi="Times New Roman"/>
          <w:sz w:val="24"/>
          <w:szCs w:val="24"/>
        </w:rPr>
        <w:t xml:space="preserve">al rules and regulations as a small open economy. The General Agreement on Tariffs and Trades (GATT) has greatly </w:t>
      </w:r>
      <w:r>
        <w:rPr>
          <w:rFonts w:ascii="Times New Roman" w:cs="Times New Roman" w:hAnsi="Times New Roman"/>
          <w:sz w:val="24"/>
          <w:szCs w:val="24"/>
        </w:rPr>
        <w:t>supported and benefitted Canada.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 xml:space="preserve">Among the examples of instruments of trade used in Canada </w:t>
      </w:r>
      <w:r>
        <w:rPr>
          <w:rFonts w:ascii="Times New Roman" w:cs="Times New Roman" w:hAnsi="Times New Roman"/>
          <w:sz w:val="24"/>
          <w:szCs w:val="24"/>
        </w:rPr>
        <w:t>are</w:t>
      </w:r>
      <w:r>
        <w:rPr>
          <w:rFonts w:ascii="Times New Roman" w:cs="Times New Roman" w:hAnsi="Times New Roman"/>
          <w:sz w:val="24"/>
          <w:szCs w:val="24"/>
        </w:rPr>
        <w:t xml:space="preserve"> Tariffs. </w:t>
      </w:r>
      <w:r>
        <w:rPr>
          <w:rFonts w:ascii="Times New Roman" w:cs="Times New Roman" w:hAnsi="Times New Roman"/>
          <w:sz w:val="24"/>
          <w:szCs w:val="24"/>
        </w:rPr>
        <w:t xml:space="preserve">These </w:t>
      </w:r>
      <w:r>
        <w:rPr>
          <w:rFonts w:ascii="Times New Roman" w:cs="Times New Roman" w:hAnsi="Times New Roman"/>
          <w:sz w:val="24"/>
          <w:szCs w:val="24"/>
        </w:rPr>
        <w:t xml:space="preserve">are </w:t>
      </w:r>
      <w:r>
        <w:rPr>
          <w:rFonts w:ascii="Times New Roman" w:cs="Times New Roman" w:hAnsi="Times New Roman"/>
          <w:sz w:val="24"/>
          <w:szCs w:val="24"/>
        </w:rPr>
        <w:t>custom duties or taxes imposed on imported or exported goods and services</w:t>
      </w:r>
      <w:r>
        <w:rPr>
          <w:rFonts w:ascii="Times New Roman" w:cs="Times New Roman" w:hAnsi="Times New Roman"/>
          <w:sz w:val="24"/>
          <w:szCs w:val="24"/>
        </w:rPr>
        <w:t>. They include import, export, and transit duties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Canada uses subsidies as another </w:t>
      </w:r>
      <w:r>
        <w:rPr>
          <w:rFonts w:ascii="Times New Roman" w:cs="Times New Roman" w:hAnsi="Times New Roman"/>
          <w:sz w:val="24"/>
          <w:szCs w:val="24"/>
        </w:rPr>
        <w:t>trading instrument,</w:t>
      </w:r>
      <w:r>
        <w:rPr>
          <w:rFonts w:ascii="Times New Roman" w:cs="Times New Roman" w:hAnsi="Times New Roman"/>
          <w:sz w:val="24"/>
          <w:szCs w:val="24"/>
        </w:rPr>
        <w:t xml:space="preserve"> mainly in the agricultural sectors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to sectors that are deemed underdeveloped or high export opportunities. Import quotas</w:t>
      </w:r>
      <w:r>
        <w:rPr>
          <w:rFonts w:ascii="Times New Roman" w:cs="Times New Roman" w:hAnsi="Times New Roman"/>
          <w:sz w:val="24"/>
          <w:szCs w:val="24"/>
        </w:rPr>
        <w:t xml:space="preserve"> are an instrument</w:t>
      </w:r>
      <w:r>
        <w:rPr>
          <w:rFonts w:ascii="Times New Roman" w:cs="Times New Roman" w:hAnsi="Times New Roman"/>
          <w:sz w:val="24"/>
          <w:szCs w:val="24"/>
        </w:rPr>
        <w:t xml:space="preserve"> applied to control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import of goods in the country. Any amount above the quota is charged a higher rate</w:t>
      </w:r>
      <w:r>
        <w:rPr>
          <w:rFonts w:ascii="Times New Roman" w:cs="Times New Roman" w:hAnsi="Times New Roman"/>
          <w:sz w:val="24"/>
          <w:szCs w:val="24"/>
        </w:rPr>
        <w:t xml:space="preserve"> (PCB, 2020)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In May 2019, Canada improved it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trading relationship with Israel by addressing various non-tariff barriers. This has included </w:t>
      </w:r>
      <w:r>
        <w:rPr>
          <w:rFonts w:ascii="Times New Roman" w:cs="Times New Roman" w:hAnsi="Times New Roman"/>
          <w:sz w:val="24"/>
          <w:szCs w:val="24"/>
        </w:rPr>
        <w:t>multiple</w:t>
      </w:r>
      <w:r>
        <w:rPr>
          <w:rFonts w:ascii="Times New Roman" w:cs="Times New Roman" w:hAnsi="Times New Roman"/>
          <w:sz w:val="24"/>
          <w:szCs w:val="24"/>
        </w:rPr>
        <w:t xml:space="preserve"> sections regarding labor and environment, medium and small enterprises</w:t>
      </w:r>
      <w:r>
        <w:rPr>
          <w:rFonts w:ascii="Times New Roman" w:cs="Times New Roman" w:hAnsi="Times New Roman"/>
          <w:sz w:val="24"/>
          <w:szCs w:val="24"/>
        </w:rPr>
        <w:t xml:space="preserve">, and </w:t>
      </w:r>
      <w:r>
        <w:rPr>
          <w:rFonts w:ascii="Times New Roman" w:cs="Times New Roman" w:hAnsi="Times New Roman"/>
          <w:sz w:val="24"/>
          <w:szCs w:val="24"/>
        </w:rPr>
        <w:t>significant</w:t>
      </w:r>
      <w:r>
        <w:rPr>
          <w:rFonts w:ascii="Times New Roman" w:cs="Times New Roman" w:hAnsi="Times New Roman"/>
          <w:sz w:val="24"/>
          <w:szCs w:val="24"/>
        </w:rPr>
        <w:t xml:space="preserve"> corporate social responsibility (Government of Canada, 2019).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Most of these instruments are being used for political intervention. </w:t>
      </w:r>
      <w:r>
        <w:rPr>
          <w:rFonts w:ascii="Times New Roman" w:cs="Times New Roman" w:hAnsi="Times New Roman"/>
          <w:sz w:val="24"/>
          <w:szCs w:val="24"/>
        </w:rPr>
        <w:t xml:space="preserve">Canada </w:t>
      </w:r>
      <w:r>
        <w:rPr>
          <w:rFonts w:ascii="Times New Roman" w:cs="Times New Roman" w:hAnsi="Times New Roman"/>
          <w:sz w:val="24"/>
          <w:szCs w:val="24"/>
        </w:rPr>
        <w:t>puts more emphasis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challenges of increased protectionism</w:t>
      </w:r>
      <w:r>
        <w:rPr>
          <w:rFonts w:ascii="Times New Roman" w:cs="Times New Roman" w:hAnsi="Times New Roman"/>
          <w:sz w:val="24"/>
          <w:szCs w:val="24"/>
        </w:rPr>
        <w:t>. Those keen on</w:t>
      </w:r>
      <w:r>
        <w:rPr>
          <w:rFonts w:ascii="Times New Roman" w:cs="Times New Roman" w:hAnsi="Times New Roman"/>
          <w:sz w:val="24"/>
          <w:szCs w:val="24"/>
        </w:rPr>
        <w:t xml:space="preserve"> new technologies ha</w:t>
      </w:r>
      <w:r>
        <w:rPr>
          <w:rFonts w:ascii="Times New Roman" w:cs="Times New Roman" w:hAnsi="Times New Roman"/>
          <w:sz w:val="24"/>
          <w:szCs w:val="24"/>
        </w:rPr>
        <w:t>ve</w:t>
      </w:r>
      <w:r>
        <w:rPr>
          <w:rFonts w:ascii="Times New Roman" w:cs="Times New Roman" w:hAnsi="Times New Roman"/>
          <w:sz w:val="24"/>
          <w:szCs w:val="24"/>
        </w:rPr>
        <w:t xml:space="preserve"> been keen o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 xml:space="preserve"> finding new ways to manage these issues a</w:t>
      </w:r>
      <w:r>
        <w:rPr>
          <w:rFonts w:ascii="Times New Roman" w:cs="Times New Roman" w:hAnsi="Times New Roman"/>
          <w:sz w:val="24"/>
          <w:szCs w:val="24"/>
        </w:rPr>
        <w:t xml:space="preserve">nd </w:t>
      </w:r>
      <w:r>
        <w:rPr>
          <w:rFonts w:ascii="Times New Roman" w:cs="Times New Roman" w:hAnsi="Times New Roman"/>
          <w:sz w:val="24"/>
          <w:szCs w:val="24"/>
        </w:rPr>
        <w:t>social, political, and economic pressures that come with it. Trade creates employment opportunities. International trade has created many job opportunities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but </w:t>
      </w:r>
      <w:r>
        <w:rPr>
          <w:rFonts w:ascii="Times New Roman" w:cs="Times New Roman" w:hAnsi="Times New Roman"/>
          <w:sz w:val="24"/>
          <w:szCs w:val="24"/>
        </w:rPr>
        <w:t>new technologies are threatening thi</w:t>
      </w:r>
      <w:r>
        <w:rPr>
          <w:rFonts w:ascii="Times New Roman" w:cs="Times New Roman" w:hAnsi="Times New Roman"/>
          <w:sz w:val="24"/>
          <w:szCs w:val="24"/>
        </w:rPr>
        <w:t>s. There need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to be more emphasis o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 xml:space="preserve"> policies that protect people from losing their jobs to distribute wealth more equally. </w:t>
      </w:r>
      <w:r>
        <w:rPr>
          <w:rFonts w:ascii="Times New Roman" w:cs="Times New Roman" w:hAnsi="Times New Roman"/>
          <w:sz w:val="24"/>
          <w:szCs w:val="24"/>
        </w:rPr>
        <w:t xml:space="preserve">Trade cannot bring sustainable development without </w:t>
      </w:r>
      <w:r>
        <w:rPr>
          <w:rFonts w:ascii="Times New Roman" w:cs="Times New Roman" w:hAnsi="Times New Roman"/>
          <w:sz w:val="24"/>
          <w:szCs w:val="24"/>
        </w:rPr>
        <w:t>incorporating</w:t>
      </w:r>
      <w:r>
        <w:rPr>
          <w:rFonts w:ascii="Times New Roman" w:cs="Times New Roman" w:hAnsi="Times New Roman"/>
          <w:sz w:val="24"/>
          <w:szCs w:val="24"/>
        </w:rPr>
        <w:t xml:space="preserve"> government issues such as the environment, human rights, and gender quality (University of Calgary, 2019).</w:t>
      </w:r>
      <w:r>
        <w:rPr>
          <w:rFonts w:ascii="Times New Roman" w:cs="Times New Roman" w:hAnsi="Times New Roman"/>
          <w:sz w:val="24"/>
          <w:szCs w:val="24"/>
        </w:rPr>
        <w:t xml:space="preserve"> In 2017, the Canadian Free Trade Agreement (CFTA) introduced </w:t>
      </w:r>
      <w:r>
        <w:rPr>
          <w:rFonts w:ascii="Times New Roman" w:cs="Times New Roman" w:hAnsi="Times New Roman"/>
          <w:sz w:val="24"/>
          <w:szCs w:val="24"/>
        </w:rPr>
        <w:t>significan</w:t>
      </w:r>
      <w:r>
        <w:rPr>
          <w:rFonts w:ascii="Times New Roman" w:cs="Times New Roman" w:hAnsi="Times New Roman"/>
          <w:sz w:val="24"/>
          <w:szCs w:val="24"/>
        </w:rPr>
        <w:t xml:space="preserve">t advancements in the </w:t>
      </w:r>
      <w:r>
        <w:rPr>
          <w:rFonts w:ascii="Times New Roman" w:cs="Times New Roman" w:hAnsi="Times New Roman"/>
          <w:sz w:val="24"/>
          <w:szCs w:val="24"/>
        </w:rPr>
        <w:t>internal trade framework to ensure labor and investment enhancements and proper flow of goods and services (GAC, 2019).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In the early 1980s, </w:t>
      </w:r>
      <w:r>
        <w:rPr>
          <w:rFonts w:ascii="Times New Roman" w:cs="Times New Roman" w:hAnsi="Times New Roman"/>
          <w:sz w:val="24"/>
          <w:szCs w:val="24"/>
        </w:rPr>
        <w:t>unilateral trade liber</w:t>
      </w:r>
      <w:r>
        <w:rPr>
          <w:rFonts w:ascii="Times New Roman" w:cs="Times New Roman" w:hAnsi="Times New Roman"/>
          <w:sz w:val="24"/>
          <w:szCs w:val="24"/>
        </w:rPr>
        <w:t>al</w:t>
      </w:r>
      <w:r>
        <w:rPr>
          <w:rFonts w:ascii="Times New Roman" w:cs="Times New Roman" w:hAnsi="Times New Roman"/>
          <w:sz w:val="24"/>
          <w:szCs w:val="24"/>
        </w:rPr>
        <w:t xml:space="preserve">ization was adapted quickly in </w:t>
      </w:r>
      <w:r>
        <w:rPr>
          <w:rFonts w:ascii="Times New Roman" w:cs="Times New Roman" w:hAnsi="Times New Roman"/>
          <w:sz w:val="24"/>
          <w:szCs w:val="24"/>
        </w:rPr>
        <w:t>Costa Rica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Active engagement</w:t>
      </w:r>
      <w:r>
        <w:rPr>
          <w:rFonts w:ascii="Times New Roman" w:cs="Times New Roman" w:hAnsi="Times New Roman"/>
          <w:sz w:val="24"/>
          <w:szCs w:val="24"/>
        </w:rPr>
        <w:t xml:space="preserve"> in the multilateral trading system </w:t>
      </w:r>
      <w:r>
        <w:rPr>
          <w:rFonts w:ascii="Times New Roman" w:cs="Times New Roman" w:hAnsi="Times New Roman"/>
          <w:sz w:val="24"/>
          <w:szCs w:val="24"/>
        </w:rPr>
        <w:t xml:space="preserve">happened </w:t>
      </w:r>
      <w:r>
        <w:rPr>
          <w:rFonts w:ascii="Times New Roman" w:cs="Times New Roman" w:hAnsi="Times New Roman"/>
          <w:sz w:val="24"/>
          <w:szCs w:val="24"/>
        </w:rPr>
        <w:t>through elevation to GATT in 1990. Tariffs reduction has allowed more access to the countr</w:t>
      </w:r>
      <w:r>
        <w:rPr>
          <w:rFonts w:ascii="Times New Roman" w:cs="Times New Roman" w:hAnsi="Times New Roman"/>
          <w:sz w:val="24"/>
          <w:szCs w:val="24"/>
        </w:rPr>
        <w:t>y’</w:t>
      </w:r>
      <w:r>
        <w:rPr>
          <w:rFonts w:ascii="Times New Roman" w:cs="Times New Roman" w:hAnsi="Times New Roman"/>
          <w:sz w:val="24"/>
          <w:szCs w:val="24"/>
        </w:rPr>
        <w:t>s market to open to the outside world</w:t>
      </w:r>
      <w:r>
        <w:rPr>
          <w:rFonts w:ascii="Times New Roman" w:cs="Times New Roman" w:hAnsi="Times New Roman"/>
          <w:sz w:val="24"/>
          <w:szCs w:val="24"/>
        </w:rPr>
        <w:t xml:space="preserve">. International competition has helped raise </w:t>
      </w:r>
      <w:r>
        <w:rPr>
          <w:rFonts w:ascii="Times New Roman" w:cs="Times New Roman" w:hAnsi="Times New Roman"/>
          <w:sz w:val="24"/>
          <w:szCs w:val="24"/>
        </w:rPr>
        <w:t>production levels,</w:t>
      </w:r>
      <w:r>
        <w:rPr>
          <w:rFonts w:ascii="Times New Roman" w:cs="Times New Roman" w:hAnsi="Times New Roman"/>
          <w:sz w:val="24"/>
          <w:szCs w:val="24"/>
        </w:rPr>
        <w:t xml:space="preserve"> allowing favorable prices for farmers to buy and producers to offer their inputs. </w:t>
      </w:r>
      <w:r>
        <w:rPr>
          <w:rFonts w:ascii="Times New Roman" w:cs="Times New Roman" w:hAnsi="Times New Roman"/>
          <w:sz w:val="24"/>
          <w:szCs w:val="24"/>
        </w:rPr>
        <w:t>Th</w:t>
      </w:r>
      <w:r>
        <w:rPr>
          <w:rFonts w:ascii="Times New Roman" w:cs="Times New Roman" w:hAnsi="Times New Roman"/>
          <w:sz w:val="24"/>
          <w:szCs w:val="24"/>
        </w:rPr>
        <w:t>ere has been an increase in exports through promotion policies in sectors such as market access and education and human capital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Trejos</w:t>
      </w:r>
      <w:r>
        <w:rPr>
          <w:rFonts w:ascii="Times New Roman" w:cs="Times New Roman" w:hAnsi="Times New Roman"/>
          <w:sz w:val="24"/>
          <w:szCs w:val="24"/>
        </w:rPr>
        <w:t>, 2013)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These instruments of trade have boosted the Costa Rica economy </w:t>
      </w:r>
      <w:r>
        <w:rPr>
          <w:rFonts w:ascii="Times New Roman" w:cs="Times New Roman" w:hAnsi="Times New Roman"/>
          <w:sz w:val="24"/>
          <w:szCs w:val="24"/>
        </w:rPr>
        <w:t>significan</w:t>
      </w:r>
      <w:r>
        <w:rPr>
          <w:rFonts w:ascii="Times New Roman" w:cs="Times New Roman" w:hAnsi="Times New Roman"/>
          <w:sz w:val="24"/>
          <w:szCs w:val="24"/>
        </w:rPr>
        <w:t>tly.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>Economic and Political Arguments for Regional Integration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Regional economic migration enable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countries to focus on problems that are unique to them and also encourage trade between themselves. Customs union, Free trade area, Common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arket, and economic union are the main types of regional economic integration. Economic integration plays allow countries to behave as one block with similar trade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concepts. It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is beneficial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but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governments can gain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more advantages from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integration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by trading off costs in a policy against others’ benefits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. A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 acceptable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policy becomes politically sustainable when citizens in a country benefit from it (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Hornik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Nicolaides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, 2017). For regional integration to occur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there is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a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need for economic and political factors to align together. With this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there is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a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guarantee of beneficial regional integration.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Despite the many advantages of regional integration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, including the sharing of costs and market efficiency, there are several risks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they are associated with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. Inadequate complementary policies, for instance, may lead to inefficient outcomes.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Different preferences on set priorities may be due to sovereignty or connectivity gaps that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may hinder proper economic integration.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The fact that the process has losers and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winners in most cases brings about non-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inclusivity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leading to some countries feeling superior to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the others (The World Bank, 2020).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 Asia-Pacific Economic Cooperation (APEC), facilitates trade, economic growth, and cooperation in the Asia-Pacific region. With 21 member countries, decisions made are by consensus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 xml:space="preserve">a </w:t>
      </w:r>
      <w:r>
        <w:rPr>
          <w:rFonts w:ascii="Times New Roman" w:cs="Times New Roman" w:hAnsi="Times New Roman"/>
          <w:sz w:val="24"/>
          <w:szCs w:val="24"/>
        </w:rPr>
        <w:t xml:space="preserve">voluntary basis system is applied for any commitments. The </w:t>
      </w:r>
      <w:r>
        <w:rPr>
          <w:rFonts w:ascii="Times New Roman" w:cs="Times New Roman" w:hAnsi="Times New Roman"/>
          <w:sz w:val="24"/>
          <w:szCs w:val="24"/>
        </w:rPr>
        <w:t>main goals of the foundation formulated in 1994 were</w:t>
      </w:r>
      <w:r>
        <w:rPr>
          <w:rFonts w:ascii="Times New Roman" w:cs="Times New Roman" w:hAnsi="Times New Roman"/>
          <w:sz w:val="24"/>
          <w:szCs w:val="24"/>
        </w:rPr>
        <w:t xml:space="preserve"> free and open trade and investment by 2020 for developing coun</w:t>
      </w:r>
      <w:r>
        <w:rPr>
          <w:rFonts w:ascii="Times New Roman" w:cs="Times New Roman" w:hAnsi="Times New Roman"/>
          <w:sz w:val="24"/>
          <w:szCs w:val="24"/>
        </w:rPr>
        <w:t>tries</w:t>
      </w:r>
      <w:r>
        <w:rPr>
          <w:rFonts w:ascii="Times New Roman" w:cs="Times New Roman" w:hAnsi="Times New Roman"/>
          <w:sz w:val="24"/>
          <w:szCs w:val="24"/>
        </w:rPr>
        <w:t xml:space="preserve"> and open trade and investment in the Asia-pacific by 2010</w:t>
      </w:r>
      <w:r>
        <w:rPr>
          <w:rFonts w:ascii="Times New Roman" w:cs="Times New Roman" w:hAnsi="Times New Roman"/>
          <w:sz w:val="24"/>
          <w:szCs w:val="24"/>
        </w:rPr>
        <w:t xml:space="preserve"> (APEC, </w:t>
      </w:r>
      <w:r>
        <w:rPr>
          <w:rFonts w:ascii="Times New Roman" w:cs="Times New Roman" w:hAnsi="Times New Roman"/>
          <w:sz w:val="24"/>
          <w:szCs w:val="24"/>
        </w:rPr>
        <w:t>n.d.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APEC</w:t>
      </w:r>
      <w:r>
        <w:rPr>
          <w:rFonts w:ascii="Times New Roman" w:cs="Times New Roman" w:hAnsi="Times New Roman"/>
          <w:sz w:val="24"/>
          <w:szCs w:val="24"/>
        </w:rPr>
        <w:t xml:space="preserve"> involves information sharing mechanisms among economies. </w:t>
      </w:r>
      <w:r>
        <w:rPr>
          <w:rFonts w:ascii="Times New Roman" w:cs="Times New Roman" w:hAnsi="Times New Roman"/>
          <w:sz w:val="24"/>
          <w:szCs w:val="24"/>
        </w:rPr>
        <w:t>Around 60 FTAs are in operation</w:t>
      </w:r>
      <w:r>
        <w:rPr>
          <w:rFonts w:ascii="Times New Roman" w:cs="Times New Roman" w:hAnsi="Times New Roman"/>
          <w:sz w:val="24"/>
          <w:szCs w:val="24"/>
        </w:rPr>
        <w:t xml:space="preserve"> in the region. </w:t>
      </w:r>
      <w:r>
        <w:rPr>
          <w:rFonts w:ascii="Times New Roman" w:cs="Times New Roman" w:hAnsi="Times New Roman"/>
          <w:sz w:val="24"/>
          <w:szCs w:val="24"/>
        </w:rPr>
        <w:t xml:space="preserve">Through </w:t>
      </w:r>
      <w:r>
        <w:rPr>
          <w:rFonts w:ascii="Times New Roman" w:cs="Times New Roman" w:hAnsi="Times New Roman"/>
          <w:sz w:val="24"/>
          <w:szCs w:val="24"/>
        </w:rPr>
        <w:t>cooperation,</w:t>
      </w:r>
      <w:r>
        <w:rPr>
          <w:rFonts w:ascii="Times New Roman" w:cs="Times New Roman" w:hAnsi="Times New Roman"/>
          <w:sz w:val="24"/>
          <w:szCs w:val="24"/>
        </w:rPr>
        <w:t xml:space="preserve"> high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level free trade agreements and regional trade agreements </w:t>
      </w:r>
      <w:r>
        <w:rPr>
          <w:rFonts w:ascii="Times New Roman" w:cs="Times New Roman" w:hAnsi="Times New Roman"/>
          <w:sz w:val="24"/>
          <w:szCs w:val="24"/>
        </w:rPr>
        <w:t>better understand and contribute</w:t>
      </w:r>
      <w:r>
        <w:rPr>
          <w:rFonts w:ascii="Times New Roman" w:cs="Times New Roman" w:hAnsi="Times New Roman"/>
          <w:sz w:val="24"/>
          <w:szCs w:val="24"/>
        </w:rPr>
        <w:t xml:space="preserve"> to better trading relations.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UMSCA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U.S.-Mexico-Canada agreement contains</w:t>
      </w:r>
      <w:r>
        <w:rPr>
          <w:rFonts w:ascii="Times New Roman" w:cs="Times New Roman" w:hAnsi="Times New Roman"/>
          <w:sz w:val="24"/>
          <w:szCs w:val="24"/>
        </w:rPr>
        <w:t xml:space="preserve"> updates on NAFTA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which </w:t>
      </w:r>
      <w:r>
        <w:rPr>
          <w:rFonts w:ascii="Times New Roman" w:cs="Times New Roman" w:hAnsi="Times New Roman"/>
          <w:sz w:val="24"/>
          <w:szCs w:val="24"/>
        </w:rPr>
        <w:t>has been in control</w:t>
      </w:r>
      <w:r>
        <w:rPr>
          <w:rFonts w:ascii="Times New Roman" w:cs="Times New Roman" w:hAnsi="Times New Roman"/>
          <w:sz w:val="24"/>
          <w:szCs w:val="24"/>
        </w:rPr>
        <w:t xml:space="preserve"> around the three countries since 1994. UMSCA has brought improvements in protecting the environment and more rules around intellectual property and data</w:t>
      </w:r>
      <w:r>
        <w:rPr>
          <w:rFonts w:ascii="Times New Roman" w:cs="Times New Roman" w:hAnsi="Times New Roman"/>
          <w:sz w:val="24"/>
          <w:szCs w:val="24"/>
        </w:rPr>
        <w:t xml:space="preserve">. It is a win-win for the </w:t>
      </w:r>
      <w:r>
        <w:rPr>
          <w:rFonts w:ascii="Times New Roman" w:cs="Times New Roman" w:hAnsi="Times New Roman"/>
          <w:sz w:val="24"/>
          <w:szCs w:val="24"/>
        </w:rPr>
        <w:t>stat</w:t>
      </w:r>
      <w:r>
        <w:rPr>
          <w:rFonts w:ascii="Times New Roman" w:cs="Times New Roman" w:hAnsi="Times New Roman"/>
          <w:sz w:val="24"/>
          <w:szCs w:val="24"/>
        </w:rPr>
        <w:t xml:space="preserve">es as most of them stand to gain huge benefits. </w:t>
      </w:r>
      <w:r>
        <w:rPr>
          <w:rFonts w:ascii="Times New Roman" w:cs="Times New Roman" w:hAnsi="Times New Roman"/>
          <w:sz w:val="24"/>
          <w:szCs w:val="24"/>
        </w:rPr>
        <w:t>For instance, Canada’s milk market</w:t>
      </w:r>
      <w:r>
        <w:rPr>
          <w:rFonts w:ascii="Times New Roman" w:cs="Times New Roman" w:hAnsi="Times New Roman"/>
          <w:sz w:val="24"/>
          <w:szCs w:val="24"/>
        </w:rPr>
        <w:t xml:space="preserve"> will now open up for U.S farmers </w:t>
      </w:r>
      <w:r>
        <w:rPr>
          <w:rFonts w:ascii="Times New Roman" w:cs="Times New Roman" w:hAnsi="Times New Roman"/>
          <w:sz w:val="24"/>
          <w:szCs w:val="24"/>
        </w:rPr>
        <w:t>by reducing</w:t>
      </w:r>
      <w:r>
        <w:rPr>
          <w:rFonts w:ascii="Times New Roman" w:cs="Times New Roman" w:hAnsi="Times New Roman"/>
          <w:sz w:val="24"/>
          <w:szCs w:val="24"/>
        </w:rPr>
        <w:t xml:space="preserve"> tariffs allowing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U.S to sell more dairy products to them. The Mexican workers can easily unionize raising wages in Mexico. The three members agreed to review the deal </w:t>
      </w:r>
      <w:r>
        <w:rPr>
          <w:rFonts w:ascii="Times New Roman" w:cs="Times New Roman" w:hAnsi="Times New Roman"/>
          <w:sz w:val="24"/>
          <w:szCs w:val="24"/>
        </w:rPr>
        <w:t xml:space="preserve">in </w:t>
      </w:r>
      <w:r>
        <w:rPr>
          <w:rFonts w:ascii="Times New Roman" w:cs="Times New Roman" w:hAnsi="Times New Roman"/>
          <w:sz w:val="24"/>
          <w:szCs w:val="24"/>
        </w:rPr>
        <w:t>six years to ensure that all parties involved are comfortable with the results</w:t>
      </w:r>
      <w:r>
        <w:rPr>
          <w:rFonts w:ascii="Times New Roman" w:cs="Times New Roman" w:hAnsi="Times New Roman"/>
          <w:sz w:val="24"/>
          <w:szCs w:val="24"/>
        </w:rPr>
        <w:t xml:space="preserve"> (Long, 2019)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Some of the key highlights in UMSCA are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manufacture of vehicles country of origin rules. Vehicles require 75 percent of their components made in their original </w:t>
      </w:r>
      <w:r>
        <w:rPr>
          <w:rFonts w:ascii="Times New Roman" w:cs="Times New Roman" w:hAnsi="Times New Roman"/>
          <w:sz w:val="24"/>
          <w:szCs w:val="24"/>
        </w:rPr>
        <w:t>countries</w:t>
      </w:r>
      <w:r>
        <w:rPr>
          <w:rFonts w:ascii="Times New Roman" w:cs="Times New Roman" w:hAnsi="Times New Roman"/>
          <w:sz w:val="24"/>
          <w:szCs w:val="24"/>
        </w:rPr>
        <w:t xml:space="preserve"> to qualify for zero ta</w:t>
      </w:r>
      <w:r>
        <w:rPr>
          <w:rFonts w:ascii="Times New Roman" w:cs="Times New Roman" w:hAnsi="Times New Roman"/>
          <w:sz w:val="24"/>
          <w:szCs w:val="24"/>
        </w:rPr>
        <w:t>xe</w:t>
      </w:r>
      <w:r>
        <w:rPr>
          <w:rFonts w:ascii="Times New Roman" w:cs="Times New Roman" w:hAnsi="Times New Roman"/>
          <w:sz w:val="24"/>
          <w:szCs w:val="24"/>
        </w:rPr>
        <w:t xml:space="preserve">s. These </w:t>
      </w:r>
      <w:r>
        <w:rPr>
          <w:rFonts w:ascii="Times New Roman" w:cs="Times New Roman" w:hAnsi="Times New Roman"/>
          <w:sz w:val="24"/>
          <w:szCs w:val="24"/>
        </w:rPr>
        <w:t>are slightly higher from NAFTA rule,</w:t>
      </w:r>
      <w:r>
        <w:rPr>
          <w:rFonts w:ascii="Times New Roman" w:cs="Times New Roman" w:hAnsi="Times New Roman"/>
          <w:sz w:val="24"/>
          <w:szCs w:val="24"/>
        </w:rPr>
        <w:t xml:space="preserve"> which is 62.5</w:t>
      </w:r>
      <w:r>
        <w:rPr>
          <w:rFonts w:ascii="Times New Roman" w:cs="Times New Roman" w:hAnsi="Times New Roman"/>
          <w:sz w:val="24"/>
          <w:szCs w:val="24"/>
        </w:rPr>
        <w:t xml:space="preserve"> percent, </w:t>
      </w:r>
      <w:r>
        <w:rPr>
          <w:rFonts w:ascii="Times New Roman" w:cs="Times New Roman" w:hAnsi="Times New Roman"/>
          <w:sz w:val="24"/>
          <w:szCs w:val="24"/>
        </w:rPr>
        <w:t>allowing</w:t>
      </w:r>
      <w:r>
        <w:rPr>
          <w:rFonts w:ascii="Times New Roman" w:cs="Times New Roman" w:hAnsi="Times New Roman"/>
          <w:sz w:val="24"/>
          <w:szCs w:val="24"/>
        </w:rPr>
        <w:t xml:space="preserve"> more jobs in the </w:t>
      </w:r>
      <w:r>
        <w:rPr>
          <w:rFonts w:ascii="Times New Roman" w:cs="Times New Roman" w:hAnsi="Times New Roman"/>
          <w:sz w:val="24"/>
          <w:szCs w:val="24"/>
        </w:rPr>
        <w:t>initi</w:t>
      </w:r>
      <w:r>
        <w:rPr>
          <w:rFonts w:ascii="Times New Roman" w:cs="Times New Roman" w:hAnsi="Times New Roman"/>
          <w:sz w:val="24"/>
          <w:szCs w:val="24"/>
        </w:rPr>
        <w:t xml:space="preserve">al </w:t>
      </w:r>
      <w:r>
        <w:rPr>
          <w:rFonts w:ascii="Times New Roman" w:cs="Times New Roman" w:hAnsi="Times New Roman"/>
          <w:sz w:val="24"/>
          <w:szCs w:val="24"/>
        </w:rPr>
        <w:t>stat</w:t>
      </w:r>
      <w:r>
        <w:rPr>
          <w:rFonts w:ascii="Times New Roman" w:cs="Times New Roman" w:hAnsi="Times New Roman"/>
          <w:sz w:val="24"/>
          <w:szCs w:val="24"/>
        </w:rPr>
        <w:t xml:space="preserve">es and economic boosts for both. </w:t>
      </w:r>
      <w:r>
        <w:rPr>
          <w:rFonts w:ascii="Times New Roman" w:cs="Times New Roman" w:hAnsi="Times New Roman"/>
          <w:sz w:val="24"/>
          <w:szCs w:val="24"/>
        </w:rPr>
        <w:t xml:space="preserve">Politics in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U.S played a </w:t>
      </w:r>
      <w:r>
        <w:rPr>
          <w:rFonts w:ascii="Times New Roman" w:cs="Times New Roman" w:hAnsi="Times New Roman"/>
          <w:sz w:val="24"/>
          <w:szCs w:val="24"/>
        </w:rPr>
        <w:t>2significant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role in environmental changes in UMSCA. </w:t>
      </w:r>
      <w:r>
        <w:rPr>
          <w:rFonts w:ascii="Times New Roman" w:cs="Times New Roman" w:hAnsi="Times New Roman"/>
          <w:sz w:val="24"/>
          <w:szCs w:val="24"/>
        </w:rPr>
        <w:t xml:space="preserve">The U.S has </w:t>
      </w:r>
      <w:r>
        <w:rPr>
          <w:rFonts w:ascii="Times New Roman" w:cs="Times New Roman" w:hAnsi="Times New Roman"/>
          <w:sz w:val="24"/>
          <w:szCs w:val="24"/>
        </w:rPr>
        <w:t>prec</w:t>
      </w:r>
      <w:r>
        <w:rPr>
          <w:rFonts w:ascii="Times New Roman" w:cs="Times New Roman" w:hAnsi="Times New Roman"/>
          <w:sz w:val="24"/>
          <w:szCs w:val="24"/>
        </w:rPr>
        <w:t>Mexico</w:t>
      </w:r>
      <w:r>
        <w:rPr>
          <w:rFonts w:ascii="Times New Roman" w:cs="Times New Roman" w:hAnsi="Times New Roman"/>
          <w:sz w:val="24"/>
          <w:szCs w:val="24"/>
        </w:rPr>
        <w:t xml:space="preserve"> had previously been accused of social dumping and illegal waste dumping. Through a democratic majority, an opportunity presented itself to strengthen environmental standards (Simeu, 2020). UMSCA does a</w:t>
      </w:r>
      <w:r>
        <w:rPr>
          <w:rFonts w:ascii="Times New Roman" w:cs="Times New Roman" w:hAnsi="Times New Roman"/>
          <w:sz w:val="24"/>
          <w:szCs w:val="24"/>
        </w:rPr>
        <w:t>n excellent</w:t>
      </w:r>
      <w:r>
        <w:rPr>
          <w:rFonts w:ascii="Times New Roman" w:cs="Times New Roman" w:hAnsi="Times New Roman"/>
          <w:sz w:val="24"/>
          <w:szCs w:val="24"/>
        </w:rPr>
        <w:t xml:space="preserve"> job than NAFTA by </w:t>
      </w:r>
      <w:r>
        <w:rPr>
          <w:rFonts w:ascii="Times New Roman" w:cs="Times New Roman" w:hAnsi="Times New Roman"/>
          <w:sz w:val="24"/>
          <w:szCs w:val="24"/>
        </w:rPr>
        <w:t>emphasizing</w:t>
      </w:r>
      <w:r>
        <w:rPr>
          <w:rFonts w:ascii="Times New Roman" w:cs="Times New Roman" w:hAnsi="Times New Roman"/>
          <w:sz w:val="24"/>
          <w:szCs w:val="24"/>
        </w:rPr>
        <w:t xml:space="preserve"> critical factors in trade relations.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UMSCA contains strong standards to protect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trade secrets of the FTAs. This includes protection against any misuse of state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owned enterprises and trade secrets. Criminal and civil procedures are </w:t>
      </w:r>
      <w:r>
        <w:rPr>
          <w:rFonts w:ascii="Times New Roman" w:cs="Times New Roman" w:hAnsi="Times New Roman"/>
          <w:sz w:val="24"/>
          <w:szCs w:val="24"/>
        </w:rPr>
        <w:t>cover</w:t>
      </w:r>
      <w:r>
        <w:rPr>
          <w:rFonts w:ascii="Times New Roman" w:cs="Times New Roman" w:hAnsi="Times New Roman"/>
          <w:sz w:val="24"/>
          <w:szCs w:val="24"/>
        </w:rPr>
        <w:t xml:space="preserve">ed to ensure they are followed </w:t>
      </w:r>
      <w:r>
        <w:rPr>
          <w:rFonts w:ascii="Times New Roman" w:cs="Times New Roman" w:hAnsi="Times New Roman"/>
          <w:sz w:val="24"/>
          <w:szCs w:val="24"/>
        </w:rPr>
        <w:t>correctl</w:t>
      </w:r>
      <w:r>
        <w:rPr>
          <w:rFonts w:ascii="Times New Roman" w:cs="Times New Roman" w:hAnsi="Times New Roman"/>
          <w:sz w:val="24"/>
          <w:szCs w:val="24"/>
        </w:rPr>
        <w:t>y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</w:t>
      </w:r>
      <w:r>
        <w:rPr>
          <w:rFonts w:ascii="Times New Roman" w:cs="Times New Roman" w:hAnsi="Times New Roman"/>
          <w:sz w:val="24"/>
          <w:szCs w:val="24"/>
        </w:rPr>
        <w:t xml:space="preserve">nd judicial procedures </w:t>
      </w:r>
      <w:r>
        <w:rPr>
          <w:rFonts w:ascii="Times New Roman" w:cs="Times New Roman" w:hAnsi="Times New Roman"/>
          <w:sz w:val="24"/>
          <w:szCs w:val="24"/>
        </w:rPr>
        <w:t xml:space="preserve">ensure that trade secrets are not disclosed during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mitigation process. For the first time after 25 years</w:t>
      </w:r>
      <w:r>
        <w:rPr>
          <w:rFonts w:ascii="Times New Roman" w:cs="Times New Roman" w:hAnsi="Times New Roman"/>
          <w:sz w:val="24"/>
          <w:szCs w:val="24"/>
        </w:rPr>
        <w:t>, there will be truly free markets, fair trade, and high economic growth</w:t>
      </w:r>
      <w:r>
        <w:rPr>
          <w:rFonts w:ascii="Times New Roman" w:cs="Times New Roman" w:hAnsi="Times New Roman"/>
          <w:sz w:val="24"/>
          <w:szCs w:val="24"/>
        </w:rPr>
        <w:t xml:space="preserve"> (USTR, 2020).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hd w:val="clear" w:color="auto" w:fill="ffffff"/>
        <w:spacing w:after="0" w:lineRule="auto" w:line="480"/>
        <w:ind w:left="720" w:hanging="720"/>
        <w:jc w:val="center"/>
        <w:rPr>
          <w:rFonts w:ascii="Times New Roman" w:cs="Times New Roman" w:hAnsi="Times New Roman"/>
          <w:color w:val="000000"/>
          <w:sz w:val="24"/>
          <w:szCs w:val="24"/>
        </w:rPr>
      </w:pPr>
    </w:p>
    <w:p>
      <w:pPr>
        <w:pStyle w:val="style0"/>
        <w:shd w:val="clear" w:color="auto" w:fill="ffffff"/>
        <w:spacing w:after="0" w:lineRule="auto" w:line="480"/>
        <w:ind w:left="720" w:hanging="720"/>
        <w:jc w:val="center"/>
        <w:rPr>
          <w:rFonts w:ascii="Times New Roman" w:cs="Times New Roman" w:hAnsi="Times New Roman"/>
          <w:color w:val="000000"/>
          <w:sz w:val="24"/>
          <w:szCs w:val="24"/>
        </w:rPr>
      </w:pPr>
    </w:p>
    <w:p>
      <w:pPr>
        <w:pStyle w:val="style0"/>
        <w:shd w:val="clear" w:color="auto" w:fill="ffffff"/>
        <w:spacing w:after="0" w:lineRule="auto" w:line="480"/>
        <w:ind w:left="720" w:hanging="720"/>
        <w:jc w:val="center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References</w:t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APEC. (</w:t>
      </w:r>
      <w:r>
        <w:rPr>
          <w:color w:val="000000"/>
        </w:rPr>
        <w:t>n.d.</w:t>
      </w:r>
      <w:r>
        <w:rPr>
          <w:color w:val="000000"/>
        </w:rPr>
        <w:t>). </w:t>
      </w:r>
      <w:r>
        <w:rPr>
          <w:rStyle w:val="style88"/>
          <w:color w:val="000000"/>
        </w:rPr>
        <w:t>About APEC</w:t>
      </w:r>
      <w:r>
        <w:rPr>
          <w:color w:val="000000"/>
        </w:rPr>
        <w:t>. </w:t>
      </w:r>
      <w:r>
        <w:rPr/>
        <w:fldChar w:fldCharType="begin"/>
      </w:r>
      <w:r>
        <w:instrText xml:space="preserve"> HYPERLINK "https://www.apec.org/About-Us/About-APEC"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https://www.apec.org/About-Us/About-APEC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GAC. (2019, June 13). </w:t>
      </w:r>
      <w:r>
        <w:rPr>
          <w:rStyle w:val="style88"/>
          <w:color w:val="000000"/>
        </w:rPr>
        <w:t>Canada’s 2019 trade policy review opening statement</w:t>
      </w:r>
      <w:r>
        <w:rPr>
          <w:color w:val="000000"/>
        </w:rPr>
        <w:t>. </w:t>
      </w:r>
      <w:r>
        <w:rPr/>
        <w:fldChar w:fldCharType="begin"/>
      </w:r>
      <w:r>
        <w:instrText xml:space="preserve"> HYPERLINK "https://www.international.gc.ca/world-monde/international_relations-relations_internationales/wto-omc/2019-06-12-trade_review-examen_commerciales.aspx?lang=eng"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https://www.international.gc.ca/world-monde/international_relations-relations_internationales/wto-omc/2019-06-12-trade_review-examen_commerciales.aspx?lang=eng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Government of Canada. (2019, June 13). </w:t>
      </w:r>
      <w:r>
        <w:rPr>
          <w:rStyle w:val="style88"/>
          <w:color w:val="000000"/>
        </w:rPr>
        <w:t>Canada’s 2019 trade policy review opening statement</w:t>
      </w:r>
      <w:r>
        <w:rPr>
          <w:color w:val="000000"/>
        </w:rPr>
        <w:t>. GAC. </w:t>
      </w:r>
      <w:r>
        <w:rPr/>
        <w:fldChar w:fldCharType="begin"/>
      </w:r>
      <w:r>
        <w:instrText xml:space="preserve"> HYPERLINK "https://www.international.gc.ca/world-monde/international_relations-relations_internationales/wto-omc/2019-06-12-trade_review-examen_commerciales.aspx?lang=eng"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https://www.international.gc.ca/world-monde/international_relations-relations_internationales/wto-omc/2019-06-12-trade_review-examen_commerciales.aspx?lang=eng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Hornik</w:t>
      </w:r>
      <w:r>
        <w:rPr>
          <w:color w:val="000000"/>
        </w:rPr>
        <w:t xml:space="preserve">, J., &amp; </w:t>
      </w:r>
      <w:r>
        <w:rPr>
          <w:color w:val="000000"/>
        </w:rPr>
        <w:t>Nicolaides</w:t>
      </w:r>
      <w:r>
        <w:rPr>
          <w:color w:val="000000"/>
        </w:rPr>
        <w:t>, P. A. (2017). </w:t>
      </w:r>
      <w:r>
        <w:rPr>
          <w:rStyle w:val="style88"/>
          <w:color w:val="000000"/>
        </w:rPr>
        <w:t>The political limits of economic integration</w:t>
      </w:r>
      <w:r>
        <w:rPr>
          <w:color w:val="000000"/>
        </w:rPr>
        <w:t>. Intereconomics. </w:t>
      </w:r>
      <w:r>
        <w:rPr/>
        <w:fldChar w:fldCharType="begin"/>
      </w:r>
      <w:r>
        <w:instrText xml:space="preserve"> HYPERLINK "https://www.intereconomics.eu/contents/year/2017/number/5/article/the-political-limits-of-economic-integration.html"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https://www.intereconomics.eu/contents/year/2017/number/5/article/the-political-limits-of-economic-integration.html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Long, H. (2019, December 10). The Washington Post. </w:t>
      </w:r>
      <w:r>
        <w:rPr/>
        <w:fldChar w:fldCharType="begin"/>
      </w:r>
      <w:r>
        <w:instrText xml:space="preserve"> HYPERLINK "https://www.washingtonpost.com/business/2019/12/10/usmca-is-finally-done-deal-after-democrats-sign-off-heres-what-is-it/"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https://www.washingtonpost.com/business/2019/12/10/usmca-is-finally-done-deal-after-democrats-sign-off-heres-what-is-it/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PCB. (2020, October 7). </w:t>
      </w:r>
      <w:r>
        <w:rPr>
          <w:rStyle w:val="style88"/>
          <w:color w:val="000000"/>
        </w:rPr>
        <w:t>Canada customs focus to improve tariff rate quota enforcement</w:t>
      </w:r>
      <w:r>
        <w:rPr>
          <w:color w:val="000000"/>
        </w:rPr>
        <w:t>. Pacific Customs Brokers | Customs Brokerage | Freight. </w:t>
      </w:r>
      <w:r>
        <w:rPr/>
        <w:fldChar w:fldCharType="begin"/>
      </w:r>
      <w:r>
        <w:instrText xml:space="preserve"> HYPERLINK "https://www.pcb.ca/post/canada-customs-focus-improve-tariff-rate-quota-enforcement-10116" \l ":~:text=Certain%20goods%20imported%20into%20Canada,turkey%2C%20beef%20and%20egg%20products"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https://www.pcb.ca/post/canada-customs-focus-improve-tariff-rate-quota-enforcement-10116#:~:text=Certain%20goods%20imported%20into%20Canada,turkey%2C%20beef%20and%20egg%20p</w:t>
      </w:r>
      <w:bookmarkStart w:id="0" w:name="_GoBack"/>
      <w:bookmarkEnd w:id="0"/>
      <w:r>
        <w:rPr>
          <w:rStyle w:val="style85"/>
          <w:color w:val="000000"/>
          <w:u w:val="none"/>
        </w:rPr>
        <w:t>roducts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Simeu</w:t>
      </w:r>
      <w:r>
        <w:rPr>
          <w:color w:val="000000"/>
        </w:rPr>
        <w:t>, B. A. (2020, September 24). </w:t>
      </w:r>
      <w:r>
        <w:rPr>
          <w:rStyle w:val="style88"/>
          <w:color w:val="000000"/>
        </w:rPr>
        <w:t>Free trade 2.0: How USMCA does a better job than NAFTA of protecting the environment</w:t>
      </w:r>
      <w:r>
        <w:rPr>
          <w:color w:val="000000"/>
        </w:rPr>
        <w:t>. The Conversation. </w:t>
      </w:r>
      <w:r>
        <w:rPr/>
        <w:fldChar w:fldCharType="begin"/>
      </w:r>
      <w:r>
        <w:instrText xml:space="preserve"> HYPERLINK "https://theconversation.com/free-trade-2-0-how-usmca-does-a-better-job-than-nafta-of-protecting-the-environment-146384"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https://theconversation.com/free-trade-2-0-how-usmca-does-a-better-job-than-nafta-of-protecting-the-environment-146384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Trejos</w:t>
      </w:r>
      <w:r>
        <w:rPr>
          <w:color w:val="000000"/>
        </w:rPr>
        <w:t>, A. (2013, October). </w:t>
      </w:r>
      <w:r>
        <w:rPr>
          <w:rStyle w:val="style88"/>
          <w:color w:val="000000"/>
        </w:rPr>
        <w:t>Economic Growth and Restructuring through Trade and FDI</w:t>
      </w:r>
      <w:r>
        <w:rPr>
          <w:color w:val="000000"/>
        </w:rPr>
        <w:t>. Brookings - Quality. Independence. Impact. </w:t>
      </w:r>
      <w:r>
        <w:rPr/>
        <w:fldChar w:fldCharType="begin"/>
      </w:r>
      <w:r>
        <w:instrText xml:space="preserve"> HYPERLINK "https://www.brookings.edu/wp-content/uploads/2016/06/economic-growth-trade-fdi-costa-rica-cuba-trejos.pdf"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https://www.brookings.edu/wp-content/uploads/2016/06/economic-growth-trade-fdi-costa-rica-cuba-trejos.pdf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University of Calgary. (2019, November). </w:t>
      </w:r>
      <w:r>
        <w:rPr>
          <w:rStyle w:val="style88"/>
          <w:color w:val="000000"/>
        </w:rPr>
        <w:t>The Future of Canadian Trade Policy</w:t>
      </w:r>
      <w:r>
        <w:rPr>
          <w:color w:val="000000"/>
        </w:rPr>
        <w:t>. The School of Public Policy | Policy Drives Decisions | University of Calgary. </w:t>
      </w:r>
      <w:r>
        <w:rPr/>
        <w:fldChar w:fldCharType="begin"/>
      </w:r>
      <w:r>
        <w:instrText xml:space="preserve"> HYPERLINK "https://www.policyschool.ca/wp-content/uploads/2019/11/Cdn-Trade-Policy-Briefing-Paper.Nov-18-final.pdf"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https://www.policyschool.ca/wp-content/uploads/2019/11/Cdn-Trade-Policy-Briefing-Paper.Nov-18-final.pdf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USTR. (2020). </w:t>
      </w:r>
      <w:r>
        <w:rPr>
          <w:rStyle w:val="style88"/>
          <w:color w:val="000000"/>
        </w:rPr>
        <w:t>United STATES–Mexico–CANADA trade fact sheet modernizing NAFTA into a 21st century trade agreement</w:t>
      </w:r>
      <w:r>
        <w:rPr>
          <w:color w:val="000000"/>
        </w:rPr>
        <w:t>. United States Trade Representative. </w:t>
      </w:r>
      <w:r>
        <w:rPr/>
        <w:fldChar w:fldCharType="begin"/>
      </w:r>
      <w:r>
        <w:instrText xml:space="preserve"> HYPERLINK "https://ustr.gov/trade-agreements/free-trade-agreements/united-states-mexico-canada-agreement/fact-sheets/modernizing"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https://ustr.gov/trade-agreements/free-trade-agreements/united-states-mexico-canada-agreement/fact-sheets/modernizing</w:t>
      </w:r>
      <w:r>
        <w:rPr/>
        <w:fldChar w:fldCharType="end"/>
      </w:r>
    </w:p>
    <w:p>
      <w:pPr>
        <w:pStyle w:val="style94"/>
        <w:shd w:val="clear" w:color="auto" w:fill="ffffff"/>
        <w:spacing w:before="0" w:beforeAutospacing="false" w:after="0" w:afterAutospacing="false" w:lineRule="auto" w:line="480"/>
        <w:ind w:left="720" w:hanging="720"/>
        <w:rPr>
          <w:color w:val="000000"/>
        </w:rPr>
      </w:pPr>
      <w:r>
        <w:rPr>
          <w:color w:val="000000"/>
        </w:rPr>
        <w:t>The World Bank. (2020). </w:t>
      </w:r>
      <w:r>
        <w:rPr>
          <w:rStyle w:val="style88"/>
          <w:color w:val="000000"/>
        </w:rPr>
        <w:t>Overview</w:t>
      </w:r>
      <w:r>
        <w:rPr>
          <w:color w:val="000000"/>
        </w:rPr>
        <w:t>. World Bank. </w:t>
      </w:r>
      <w:r>
        <w:rPr/>
        <w:fldChar w:fldCharType="begin"/>
      </w:r>
      <w:r>
        <w:instrText xml:space="preserve"> HYPERLINK "https://www.worldbank.org/en/topic/regional-integration/overview" </w:instrText>
      </w:r>
      <w:r>
        <w:rPr/>
        <w:fldChar w:fldCharType="separate"/>
      </w:r>
      <w:r>
        <w:rPr>
          <w:rStyle w:val="style85"/>
          <w:color w:val="000000"/>
          <w:u w:val="none"/>
        </w:rPr>
        <w:t>https://www.worldbank.org/en/topic/regional-integration/overview</w:t>
      </w:r>
      <w:r>
        <w:rPr/>
        <w:fldChar w:fldCharType="end"/>
      </w:r>
    </w:p>
    <w:p>
      <w:pPr>
        <w:pStyle w:val="style0"/>
        <w:spacing w:after="0"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>
        <w:rFonts w:ascii="Times New Roman" w:cs="Times New Roman" w:hAnsi="Times New Roman"/>
        <w:sz w:val="24"/>
        <w:szCs w:val="24"/>
      </w:rPr>
      <w:t xml:space="preserve">REGIONAL ECONOMIC INTERGRATION </w:t>
    </w:r>
    <w:r>
      <w:t xml:space="preserve">                                                                                           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7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REGIONAL ECONOMIC INTERGRATION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hideGrammaticalError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222af17e-efaf-452d-9f3a-33bafece4b24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2eac272-767a-422c-bc49-bf3f7cb2f75a"/>
    <w:basedOn w:val="style65"/>
    <w:next w:val="style4098"/>
    <w:link w:val="style32"/>
    <w:uiPriority w:val="99"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Words>1190</Words>
  <Pages>7</Pages>
  <Characters>8015</Characters>
  <Application>WPS Office</Application>
  <DocSecurity>0</DocSecurity>
  <Paragraphs>66</Paragraphs>
  <ScaleCrop>false</ScaleCrop>
  <LinksUpToDate>false</LinksUpToDate>
  <CharactersWithSpaces>9273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2020-10-05T10:57:00Z</dcterms:created>
  <dc:creator>User</dc:creator>
  <lastModifiedBy>SM-A705FN</lastModifiedBy>
  <dcterms:modified xsi:type="dcterms:W3CDTF">2020-10-07T23:03:45Z</dcterms:modified>
  <revision>77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